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8"/>
        <w:gridCol w:w="2742"/>
      </w:tblGrid>
      <w:tr w:rsidR="00EE343E" w:rsidRPr="00303B1B" w14:paraId="56C326C4" w14:textId="77777777" w:rsidTr="007C3045">
        <w:tc>
          <w:tcPr>
            <w:tcW w:w="6708" w:type="dxa"/>
          </w:tcPr>
          <w:p w14:paraId="00ACC7ED" w14:textId="77777777" w:rsidR="00EE343E" w:rsidRPr="00303B1B" w:rsidRDefault="00EE343E" w:rsidP="007C3045">
            <w:pPr>
              <w:pStyle w:val="PlainText"/>
              <w:tabs>
                <w:tab w:val="left" w:pos="5197"/>
              </w:tabs>
              <w:rPr>
                <w:rFonts w:ascii="Times New Roman" w:eastAsia="MS Mincho" w:hAnsi="Times New Roman"/>
                <w:b/>
                <w:bCs/>
                <w:lang w:val="fr-CA"/>
              </w:rPr>
            </w:pPr>
            <w:r w:rsidRPr="00303B1B">
              <w:rPr>
                <w:rFonts w:ascii="Times New Roman" w:hAnsi="Times New Roman"/>
                <w:noProof/>
              </w:rPr>
              <w:drawing>
                <wp:inline distT="0" distB="0" distL="0" distR="0" wp14:anchorId="0BA58D43" wp14:editId="69290C65">
                  <wp:extent cx="2048934" cy="896409"/>
                  <wp:effectExtent l="0" t="0" r="8890" b="0"/>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074075" cy="907408"/>
                          </a:xfrm>
                          <a:prstGeom prst="rect">
                            <a:avLst/>
                          </a:prstGeom>
                        </pic:spPr>
                      </pic:pic>
                    </a:graphicData>
                  </a:graphic>
                </wp:inline>
              </w:drawing>
            </w:r>
          </w:p>
        </w:tc>
        <w:tc>
          <w:tcPr>
            <w:tcW w:w="2742" w:type="dxa"/>
            <w:vAlign w:val="center"/>
          </w:tcPr>
          <w:p w14:paraId="7F7E8664" w14:textId="77777777" w:rsidR="00EE343E" w:rsidRPr="00303B1B" w:rsidRDefault="00EE343E" w:rsidP="007C3045">
            <w:pPr>
              <w:pStyle w:val="PlainText"/>
              <w:jc w:val="right"/>
              <w:rPr>
                <w:rFonts w:ascii="Times New Roman" w:eastAsia="MS Mincho" w:hAnsi="Times New Roman"/>
                <w:i/>
                <w:iCs/>
                <w:color w:val="595959"/>
                <w:lang w:val="en-CA"/>
              </w:rPr>
            </w:pPr>
            <w:r w:rsidRPr="00303B1B">
              <w:rPr>
                <w:rFonts w:ascii="Times New Roman" w:eastAsia="MS Mincho" w:hAnsi="Times New Roman"/>
                <w:i/>
                <w:iCs/>
                <w:color w:val="595959"/>
                <w:lang w:val="en-CA"/>
              </w:rPr>
              <w:t>1606 – 1166 Alberni Street</w:t>
            </w:r>
          </w:p>
          <w:p w14:paraId="33F6AC7B" w14:textId="77777777" w:rsidR="00EE343E" w:rsidRPr="00303B1B" w:rsidRDefault="00EE343E" w:rsidP="007C3045">
            <w:pPr>
              <w:pStyle w:val="PlainText"/>
              <w:jc w:val="right"/>
              <w:rPr>
                <w:rFonts w:ascii="Times New Roman" w:eastAsia="MS Mincho" w:hAnsi="Times New Roman"/>
                <w:i/>
                <w:iCs/>
                <w:color w:val="595959"/>
                <w:lang w:val="en-CA"/>
              </w:rPr>
            </w:pPr>
            <w:r w:rsidRPr="00303B1B">
              <w:rPr>
                <w:rFonts w:ascii="Times New Roman" w:eastAsia="MS Mincho" w:hAnsi="Times New Roman"/>
                <w:i/>
                <w:iCs/>
                <w:color w:val="595959" w:themeColor="text1" w:themeTint="A6"/>
                <w:lang w:val="en-CA"/>
              </w:rPr>
              <w:t>Vancouver, British Columbia, Canada</w:t>
            </w:r>
          </w:p>
          <w:p w14:paraId="1943BD55" w14:textId="77777777" w:rsidR="00EE343E" w:rsidRPr="00303B1B" w:rsidRDefault="00EE343E" w:rsidP="007C3045">
            <w:pPr>
              <w:pStyle w:val="PlainText"/>
              <w:tabs>
                <w:tab w:val="right" w:pos="9900"/>
              </w:tabs>
              <w:jc w:val="right"/>
              <w:rPr>
                <w:rFonts w:ascii="Times New Roman" w:eastAsia="MS Mincho" w:hAnsi="Times New Roman"/>
                <w:i/>
                <w:iCs/>
                <w:color w:val="595959"/>
                <w:highlight w:val="yellow"/>
                <w:lang w:val="fr-CA"/>
              </w:rPr>
            </w:pPr>
            <w:r w:rsidRPr="00303B1B">
              <w:rPr>
                <w:rFonts w:ascii="Times New Roman" w:eastAsia="MS Mincho" w:hAnsi="Times New Roman"/>
                <w:i/>
                <w:iCs/>
                <w:color w:val="595959" w:themeColor="text1" w:themeTint="A6"/>
                <w:lang w:val="en-CA"/>
              </w:rPr>
              <w:t>V6E 3Z3</w:t>
            </w:r>
            <w:r w:rsidRPr="00303B1B">
              <w:rPr>
                <w:rFonts w:ascii="Times New Roman" w:eastAsia="MS Mincho" w:hAnsi="Times New Roman"/>
                <w:b/>
                <w:bCs/>
                <w:lang w:val="fr-CA"/>
              </w:rPr>
              <w:t xml:space="preserve"> </w:t>
            </w:r>
          </w:p>
        </w:tc>
      </w:tr>
    </w:tbl>
    <w:p w14:paraId="17B31295" w14:textId="666E0201" w:rsidR="00EE343E" w:rsidRPr="00303B1B" w:rsidRDefault="00EE343E" w:rsidP="00EE343E">
      <w:pPr>
        <w:spacing w:before="120"/>
        <w:rPr>
          <w:noProof/>
          <w:lang w:val="en-CA" w:eastAsia="en-CA"/>
        </w:rPr>
      </w:pPr>
      <w:r>
        <w:rPr>
          <w:noProof/>
        </w:rPr>
        <mc:AlternateContent>
          <mc:Choice Requires="wps">
            <w:drawing>
              <wp:inline distT="0" distB="0" distL="0" distR="0" wp14:anchorId="55C93A86" wp14:editId="00A5745F">
                <wp:extent cx="5943600" cy="635"/>
                <wp:effectExtent l="0" t="19050" r="19050" b="37465"/>
                <wp:docPr id="76452756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57150">
                          <a:solidFill>
                            <a:srgbClr val="5A5A5A"/>
                          </a:solidFill>
                          <a:round/>
                          <a:headEnd/>
                          <a:tailEnd/>
                        </a:ln>
                      </wps:spPr>
                      <wps:bodyPr/>
                    </wps:wsp>
                  </a:graphicData>
                </a:graphic>
              </wp:inline>
            </w:drawing>
          </mc:Choice>
          <mc:Fallback>
            <w:pict>
              <v:shapetype w14:anchorId="52AA96BE" id="_x0000_t32" coordsize="21600,21600" o:spt="32" o:oned="t" path="m,l21600,21600e" filled="f">
                <v:path arrowok="t" fillok="f" o:connecttype="none"/>
                <o:lock v:ext="edit" shapetype="t"/>
              </v:shapetype>
              <v:shape id="Straight Arrow Connector 1"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" strokecolor="#5a5a5a" strokeweight="4.5pt">
                <w10:anchorlock/>
              </v:shape>
            </w:pict>
          </mc:Fallback>
        </mc:AlternateContent>
      </w:r>
    </w:p>
    <w:p w14:paraId="4BDCAEC0" w14:textId="77777777" w:rsidR="00EE343E" w:rsidRPr="00303B1B" w:rsidRDefault="00EE343E" w:rsidP="00EE343E">
      <w:pPr>
        <w:spacing w:before="240" w:after="240"/>
        <w:jc w:val="center"/>
      </w:pPr>
      <w:r w:rsidRPr="00303B1B">
        <w:rPr>
          <w:b/>
          <w:bCs/>
        </w:rPr>
        <w:t>NOTICE OF ANNUAL GENERAL MEETING</w:t>
      </w:r>
    </w:p>
    <w:p w14:paraId="6C28E6AC" w14:textId="77777777" w:rsidR="00EE343E" w:rsidRPr="00303B1B" w:rsidRDefault="00EE343E" w:rsidP="00EE343E">
      <w:pPr>
        <w:spacing w:after="240"/>
        <w:jc w:val="both"/>
      </w:pPr>
      <w:r w:rsidRPr="00303B1B">
        <w:rPr>
          <w:b/>
          <w:bCs/>
        </w:rPr>
        <w:t>NOTICE IS HEREBY GIVEN</w:t>
      </w:r>
      <w:r w:rsidRPr="00303B1B">
        <w:t xml:space="preserve"> that the Annual General Meeting (the “</w:t>
      </w:r>
      <w:r w:rsidRPr="00303B1B">
        <w:rPr>
          <w:b/>
          <w:bCs/>
        </w:rPr>
        <w:t>Meeting</w:t>
      </w:r>
      <w:r w:rsidRPr="00303B1B">
        <w:t>”) of the shareholders of Tribe Property Technologies Inc. (the “</w:t>
      </w:r>
      <w:r w:rsidRPr="00303B1B">
        <w:rPr>
          <w:b/>
          <w:bCs/>
        </w:rPr>
        <w:t>Corporation</w:t>
      </w:r>
      <w:r w:rsidRPr="00303B1B">
        <w:t xml:space="preserve">”) will be held on </w:t>
      </w:r>
      <w:r>
        <w:t>Wednesday</w:t>
      </w:r>
      <w:r w:rsidRPr="00541228">
        <w:t xml:space="preserve">, </w:t>
      </w:r>
      <w:r>
        <w:t>October 15</w:t>
      </w:r>
      <w:r w:rsidRPr="00541228">
        <w:t xml:space="preserve"> at 1:00 p.m.</w:t>
      </w:r>
      <w:r w:rsidRPr="00303B1B">
        <w:t xml:space="preserve"> (Pacific Standard Time) via teleconference dial in using the following details:</w:t>
      </w:r>
    </w:p>
    <w:p w14:paraId="7826360A" w14:textId="77777777" w:rsidR="00EE343E" w:rsidRPr="00303B1B" w:rsidRDefault="00EE343E" w:rsidP="00EE343E">
      <w:pPr>
        <w:spacing w:after="240"/>
        <w:jc w:val="center"/>
        <w:rPr>
          <w:b/>
        </w:rPr>
      </w:pPr>
      <w:r w:rsidRPr="00303B1B">
        <w:rPr>
          <w:b/>
        </w:rPr>
        <w:t xml:space="preserve">TELECONFERENCE DIAL IN: </w:t>
      </w:r>
    </w:p>
    <w:tbl>
      <w:tblPr>
        <w:tblStyle w:val="TableGrid"/>
        <w:tblW w:w="9470" w:type="dxa"/>
        <w:tblLayout w:type="fixed"/>
        <w:tblLook w:val="06A0" w:firstRow="1" w:lastRow="0" w:firstColumn="1" w:lastColumn="0" w:noHBand="1" w:noVBand="1"/>
      </w:tblPr>
      <w:tblGrid>
        <w:gridCol w:w="4680"/>
        <w:gridCol w:w="4790"/>
      </w:tblGrid>
      <w:tr w:rsidR="00EE343E" w:rsidRPr="00E56ABC" w14:paraId="6A5FA4BF" w14:textId="77777777" w:rsidTr="007C3045">
        <w:trPr>
          <w:trHeight w:val="300"/>
        </w:trPr>
        <w:tc>
          <w:tcPr>
            <w:tcW w:w="4680" w:type="dxa"/>
          </w:tcPr>
          <w:p w14:paraId="5074CB4E" w14:textId="77777777" w:rsidR="00EE343E" w:rsidRDefault="00EE343E" w:rsidP="007C3045">
            <w:pPr>
              <w:rPr>
                <w:rStyle w:val="Prompt"/>
                <w:b/>
                <w:bCs/>
              </w:rPr>
            </w:pPr>
            <w:r w:rsidRPr="00E56ABC">
              <w:rPr>
                <w:rStyle w:val="Prompt"/>
                <w:b/>
                <w:bCs/>
              </w:rPr>
              <w:t>To dial using One tap mobile:</w:t>
            </w:r>
          </w:p>
          <w:p w14:paraId="74847891" w14:textId="77777777" w:rsidR="00FA02E8" w:rsidRPr="00FA02E8" w:rsidRDefault="00FA02E8" w:rsidP="00FA02E8">
            <w:pPr>
              <w:rPr>
                <w:sz w:val="24"/>
              </w:rPr>
            </w:pPr>
          </w:p>
          <w:p w14:paraId="6B4DBE29" w14:textId="77777777" w:rsidR="00FA02E8" w:rsidRDefault="00FA02E8" w:rsidP="00FA02E8">
            <w:pPr>
              <w:rPr>
                <w:rStyle w:val="Prompt"/>
                <w:b/>
                <w:bCs/>
              </w:rPr>
            </w:pPr>
          </w:p>
          <w:p w14:paraId="6CF40AA7" w14:textId="77777777" w:rsidR="00FA02E8" w:rsidRPr="00FA02E8" w:rsidRDefault="00FA02E8" w:rsidP="00FA02E8">
            <w:pPr>
              <w:jc w:val="center"/>
              <w:rPr>
                <w:sz w:val="24"/>
              </w:rPr>
            </w:pPr>
          </w:p>
        </w:tc>
        <w:tc>
          <w:tcPr>
            <w:tcW w:w="4790" w:type="dxa"/>
          </w:tcPr>
          <w:p w14:paraId="69498D98" w14:textId="77777777" w:rsidR="00EE343E" w:rsidRPr="00E56ABC" w:rsidRDefault="00EE343E" w:rsidP="007C3045">
            <w:r w:rsidRPr="00E56ABC">
              <w:t xml:space="preserve">+15873281099, </w:t>
            </w:r>
            <w:r>
              <w:t>85709401534</w:t>
            </w:r>
            <w:r w:rsidRPr="00E56ABC">
              <w:t># Canada</w:t>
            </w:r>
          </w:p>
          <w:p w14:paraId="45C9F3D5" w14:textId="77777777" w:rsidR="00EE343E" w:rsidRPr="00E56ABC" w:rsidRDefault="00EE343E" w:rsidP="007C3045">
            <w:r w:rsidRPr="00E56ABC">
              <w:t xml:space="preserve">+16473744685, </w:t>
            </w:r>
            <w:r>
              <w:t>85709401534</w:t>
            </w:r>
            <w:r w:rsidRPr="00E56ABC">
              <w:t># Canada</w:t>
            </w:r>
          </w:p>
          <w:p w14:paraId="6F9C16A1" w14:textId="77777777" w:rsidR="00EE343E" w:rsidRPr="00E56ABC" w:rsidRDefault="00EE343E" w:rsidP="007C3045"/>
          <w:p w14:paraId="521D200A" w14:textId="77777777" w:rsidR="00EE343E" w:rsidRPr="00E56ABC" w:rsidRDefault="00EE343E" w:rsidP="007C3045">
            <w:r w:rsidRPr="00E56ABC">
              <w:rPr>
                <w:b/>
                <w:bCs/>
              </w:rPr>
              <w:t>Meeting ID:</w:t>
            </w:r>
            <w:r w:rsidRPr="00E56ABC">
              <w:t xml:space="preserve"> </w:t>
            </w:r>
            <w:r>
              <w:t>857 0940 1534</w:t>
            </w:r>
          </w:p>
          <w:p w14:paraId="4262FBB8" w14:textId="77777777" w:rsidR="00EE343E" w:rsidRPr="00E56ABC" w:rsidRDefault="00EE343E" w:rsidP="007C3045">
            <w:pPr>
              <w:rPr>
                <w:rStyle w:val="Prompt"/>
              </w:rPr>
            </w:pPr>
            <w:r w:rsidRPr="00E56ABC">
              <w:rPr>
                <w:b/>
                <w:bCs/>
              </w:rPr>
              <w:t>Passcode:</w:t>
            </w:r>
            <w:r w:rsidRPr="00E56ABC">
              <w:t xml:space="preserve"> </w:t>
            </w:r>
            <w:r>
              <w:t>020959</w:t>
            </w:r>
          </w:p>
        </w:tc>
      </w:tr>
      <w:tr w:rsidR="00EE343E" w:rsidRPr="00E56ABC" w14:paraId="307A5592" w14:textId="77777777" w:rsidTr="007C3045">
        <w:trPr>
          <w:trHeight w:val="300"/>
        </w:trPr>
        <w:tc>
          <w:tcPr>
            <w:tcW w:w="4680" w:type="dxa"/>
          </w:tcPr>
          <w:p w14:paraId="72402A98" w14:textId="77777777" w:rsidR="00EE343E" w:rsidRPr="00E56ABC" w:rsidRDefault="00EE343E" w:rsidP="007C3045">
            <w:pPr>
              <w:rPr>
                <w:rStyle w:val="Prompt"/>
                <w:b/>
                <w:bCs/>
              </w:rPr>
            </w:pPr>
            <w:r w:rsidRPr="00E56ABC">
              <w:rPr>
                <w:rStyle w:val="Prompt"/>
                <w:b/>
                <w:bCs/>
              </w:rPr>
              <w:t>To dial by location:</w:t>
            </w:r>
          </w:p>
        </w:tc>
        <w:tc>
          <w:tcPr>
            <w:tcW w:w="4790" w:type="dxa"/>
          </w:tcPr>
          <w:p w14:paraId="22AF090C" w14:textId="77777777" w:rsidR="00EE343E" w:rsidRPr="00E56ABC" w:rsidRDefault="00EE343E" w:rsidP="007C3045">
            <w:r w:rsidRPr="00E56ABC">
              <w:t xml:space="preserve"> +1 253 215 8782 US (Tacoma)</w:t>
            </w:r>
          </w:p>
          <w:p w14:paraId="2FFAE6B4" w14:textId="77777777" w:rsidR="00EE343E" w:rsidRPr="00E56ABC" w:rsidRDefault="00EE343E" w:rsidP="007C3045">
            <w:r w:rsidRPr="00E56ABC">
              <w:t xml:space="preserve"> +1 301 715 8592 US (Washington DC)</w:t>
            </w:r>
          </w:p>
          <w:p w14:paraId="47715CF5" w14:textId="77777777" w:rsidR="00EE343E" w:rsidRPr="00E56ABC" w:rsidRDefault="00EE343E" w:rsidP="007C3045">
            <w:r w:rsidRPr="00E56ABC">
              <w:t xml:space="preserve"> +1 305 224 1968 US</w:t>
            </w:r>
          </w:p>
          <w:p w14:paraId="63080D7A" w14:textId="77777777" w:rsidR="00EE343E" w:rsidRPr="00E56ABC" w:rsidRDefault="00EE343E" w:rsidP="007C3045">
            <w:r w:rsidRPr="00E56ABC">
              <w:t xml:space="preserve"> +1 309 205 3325 US</w:t>
            </w:r>
          </w:p>
          <w:p w14:paraId="46F9DF6E" w14:textId="77777777" w:rsidR="00EE343E" w:rsidRPr="00E56ABC" w:rsidRDefault="00EE343E" w:rsidP="007C3045">
            <w:r w:rsidRPr="00E56ABC">
              <w:t xml:space="preserve"> +1 312 626 6799 US (Chicago)</w:t>
            </w:r>
          </w:p>
          <w:p w14:paraId="7AFD5E31" w14:textId="77777777" w:rsidR="00EE343E" w:rsidRPr="00E56ABC" w:rsidRDefault="00EE343E" w:rsidP="007C3045">
            <w:r w:rsidRPr="00E56ABC">
              <w:t xml:space="preserve"> +1 346 248 7799 US (Houston)</w:t>
            </w:r>
          </w:p>
          <w:p w14:paraId="651378D5" w14:textId="77777777" w:rsidR="00EE343E" w:rsidRPr="00E56ABC" w:rsidRDefault="00EE343E" w:rsidP="007C3045">
            <w:r w:rsidRPr="00E56ABC">
              <w:t xml:space="preserve"> +1 360 209 5623 US</w:t>
            </w:r>
          </w:p>
          <w:p w14:paraId="370F671C" w14:textId="77777777" w:rsidR="00EE343E" w:rsidRPr="00E56ABC" w:rsidRDefault="00EE343E" w:rsidP="007C3045">
            <w:r w:rsidRPr="00E56ABC">
              <w:t xml:space="preserve"> +1 386 347 5053 US</w:t>
            </w:r>
          </w:p>
          <w:p w14:paraId="64F36DF1" w14:textId="77777777" w:rsidR="00EE343E" w:rsidRPr="00E56ABC" w:rsidRDefault="00EE343E" w:rsidP="007C3045">
            <w:r w:rsidRPr="00E56ABC">
              <w:t xml:space="preserve"> +1 507 473 4847 US</w:t>
            </w:r>
          </w:p>
          <w:p w14:paraId="69CDAF68" w14:textId="77777777" w:rsidR="00EE343E" w:rsidRPr="00E56ABC" w:rsidRDefault="00EE343E" w:rsidP="007C3045">
            <w:r w:rsidRPr="00E56ABC">
              <w:t xml:space="preserve"> +1 564 217 2000 US</w:t>
            </w:r>
          </w:p>
          <w:p w14:paraId="12CF2876" w14:textId="77777777" w:rsidR="00EE343E" w:rsidRPr="00E56ABC" w:rsidRDefault="00EE343E" w:rsidP="007C3045">
            <w:r w:rsidRPr="00E56ABC">
              <w:t xml:space="preserve"> +1 646 558 8656 US (New York)</w:t>
            </w:r>
          </w:p>
          <w:p w14:paraId="304FFE20" w14:textId="77777777" w:rsidR="00EE343E" w:rsidRPr="00E56ABC" w:rsidRDefault="00EE343E" w:rsidP="007C3045">
            <w:r w:rsidRPr="00E56ABC">
              <w:t xml:space="preserve"> +1 646 931 3860 US</w:t>
            </w:r>
          </w:p>
          <w:p w14:paraId="07D4E181" w14:textId="77777777" w:rsidR="00EE343E" w:rsidRPr="00E56ABC" w:rsidRDefault="00EE343E" w:rsidP="007C3045">
            <w:r w:rsidRPr="00E56ABC">
              <w:t xml:space="preserve"> +1 669 444 9171 US</w:t>
            </w:r>
          </w:p>
          <w:p w14:paraId="0CDBB71B" w14:textId="77777777" w:rsidR="00EE343E" w:rsidRPr="00E56ABC" w:rsidRDefault="00EE343E" w:rsidP="007C3045">
            <w:r w:rsidRPr="00E56ABC">
              <w:t xml:space="preserve"> +1 669 900 9128 US (San Jose)</w:t>
            </w:r>
          </w:p>
          <w:p w14:paraId="640C44D9" w14:textId="77777777" w:rsidR="00EE343E" w:rsidRPr="00E56ABC" w:rsidRDefault="00EE343E" w:rsidP="007C3045">
            <w:r w:rsidRPr="00E56ABC">
              <w:t xml:space="preserve"> +1 689 278 1000 US</w:t>
            </w:r>
          </w:p>
          <w:p w14:paraId="45BA21F5" w14:textId="77777777" w:rsidR="00EE343E" w:rsidRPr="00E56ABC" w:rsidRDefault="00EE343E" w:rsidP="007C3045">
            <w:r w:rsidRPr="00E56ABC">
              <w:t xml:space="preserve"> +1 719 359 4580 US</w:t>
            </w:r>
          </w:p>
          <w:p w14:paraId="10B587C7" w14:textId="77777777" w:rsidR="00EE343E" w:rsidRPr="00E56ABC" w:rsidRDefault="00EE343E" w:rsidP="007C3045">
            <w:r w:rsidRPr="00E56ABC">
              <w:t xml:space="preserve"> +1 253 205 0468 US</w:t>
            </w:r>
          </w:p>
          <w:p w14:paraId="1F26939E" w14:textId="77777777" w:rsidR="00EE343E" w:rsidRPr="00E56ABC" w:rsidRDefault="00EE343E" w:rsidP="007C3045"/>
          <w:p w14:paraId="25F9E253" w14:textId="77777777" w:rsidR="00EE343E" w:rsidRPr="00E56ABC" w:rsidRDefault="00EE343E" w:rsidP="007C3045">
            <w:r w:rsidRPr="00E56ABC">
              <w:t xml:space="preserve">Find your local number: </w:t>
            </w:r>
            <w:hyperlink r:id="rId8" w:history="1">
              <w:r w:rsidRPr="00E56ABC">
                <w:rPr>
                  <w:rStyle w:val="Hyperlink"/>
                  <w:rFonts w:eastAsiaTheme="majorEastAsia"/>
                </w:rPr>
                <w:t>https://tribemgmt.zoom.us/u/kynYZVAyk</w:t>
              </w:r>
            </w:hyperlink>
            <w:bookmarkStart w:id="0" w:name="WinZmBookmarkEnd"/>
            <w:bookmarkEnd w:id="0"/>
          </w:p>
          <w:p w14:paraId="7E6C6064" w14:textId="77777777" w:rsidR="00EE343E" w:rsidRPr="00E56ABC" w:rsidRDefault="00EE343E" w:rsidP="007C3045"/>
          <w:p w14:paraId="1EBADF28" w14:textId="77777777" w:rsidR="00EE343E" w:rsidRPr="00E56ABC" w:rsidRDefault="00EE343E" w:rsidP="007C3045">
            <w:r w:rsidRPr="00E56ABC">
              <w:rPr>
                <w:b/>
                <w:bCs/>
              </w:rPr>
              <w:t>Meeting ID:</w:t>
            </w:r>
            <w:r w:rsidRPr="00E56ABC">
              <w:t xml:space="preserve"> </w:t>
            </w:r>
            <w:r>
              <w:t>857 0940 1534</w:t>
            </w:r>
          </w:p>
          <w:p w14:paraId="020FBAB5" w14:textId="77777777" w:rsidR="00EE343E" w:rsidRPr="00E56ABC" w:rsidRDefault="00EE343E" w:rsidP="007C3045">
            <w:pPr>
              <w:rPr>
                <w:rStyle w:val="Prompt"/>
              </w:rPr>
            </w:pPr>
            <w:r w:rsidRPr="00E56ABC">
              <w:rPr>
                <w:b/>
                <w:bCs/>
              </w:rPr>
              <w:t>Passcode:</w:t>
            </w:r>
            <w:r w:rsidRPr="00E56ABC">
              <w:t xml:space="preserve"> </w:t>
            </w:r>
            <w:r>
              <w:t>020959</w:t>
            </w:r>
          </w:p>
        </w:tc>
      </w:tr>
    </w:tbl>
    <w:p w14:paraId="60319523" w14:textId="77777777" w:rsidR="00EE343E" w:rsidRPr="00303B1B" w:rsidRDefault="00EE343E" w:rsidP="00EE343E">
      <w:pPr>
        <w:spacing w:before="240" w:after="240"/>
        <w:jc w:val="both"/>
      </w:pPr>
      <w:r w:rsidRPr="00303B1B">
        <w:t>The Meeting is to be held for the following purposes:</w:t>
      </w:r>
    </w:p>
    <w:p w14:paraId="69333B0D" w14:textId="77777777" w:rsidR="00EE343E" w:rsidRPr="00303B1B" w:rsidRDefault="00EE343E" w:rsidP="00EE343E">
      <w:pPr>
        <w:numPr>
          <w:ilvl w:val="0"/>
          <w:numId w:val="1"/>
        </w:numPr>
        <w:tabs>
          <w:tab w:val="left" w:pos="-1440"/>
        </w:tabs>
        <w:suppressAutoHyphens w:val="0"/>
        <w:autoSpaceDN/>
        <w:snapToGrid w:val="0"/>
        <w:spacing w:before="240" w:after="240"/>
        <w:jc w:val="both"/>
        <w:textAlignment w:val="auto"/>
      </w:pPr>
      <w:r w:rsidRPr="00303B1B">
        <w:t>To receive and consider the audited financial statements of the Corporation for the financial year ended December 31, 202</w:t>
      </w:r>
      <w:r>
        <w:t>4,</w:t>
      </w:r>
      <w:r w:rsidRPr="00303B1B">
        <w:t xml:space="preserve"> together with the report of the auditor thereon.</w:t>
      </w:r>
    </w:p>
    <w:p w14:paraId="6D6D4BAB" w14:textId="77777777" w:rsidR="00EE343E" w:rsidRPr="00303B1B" w:rsidRDefault="00EE343E" w:rsidP="00EE343E">
      <w:pPr>
        <w:numPr>
          <w:ilvl w:val="0"/>
          <w:numId w:val="1"/>
        </w:numPr>
        <w:tabs>
          <w:tab w:val="left" w:pos="-1440"/>
        </w:tabs>
        <w:suppressAutoHyphens w:val="0"/>
        <w:autoSpaceDN/>
        <w:snapToGrid w:val="0"/>
        <w:spacing w:before="240" w:after="240"/>
        <w:jc w:val="both"/>
        <w:textAlignment w:val="auto"/>
      </w:pPr>
      <w:r w:rsidRPr="00303B1B">
        <w:t>To elect the directors of the Corporation for the ensuing year.</w:t>
      </w:r>
    </w:p>
    <w:p w14:paraId="14FCD92F" w14:textId="77777777" w:rsidR="00EE343E" w:rsidRPr="00303B1B" w:rsidRDefault="00EE343E" w:rsidP="00EE343E">
      <w:pPr>
        <w:numPr>
          <w:ilvl w:val="0"/>
          <w:numId w:val="1"/>
        </w:numPr>
        <w:tabs>
          <w:tab w:val="left" w:pos="-1440"/>
        </w:tabs>
        <w:suppressAutoHyphens w:val="0"/>
        <w:autoSpaceDN/>
        <w:snapToGrid w:val="0"/>
        <w:spacing w:before="240" w:after="240"/>
        <w:jc w:val="both"/>
        <w:textAlignment w:val="auto"/>
      </w:pPr>
      <w:r w:rsidRPr="00303B1B">
        <w:t xml:space="preserve">To appoint Dale Matheson Carr-Hilton </w:t>
      </w:r>
      <w:proofErr w:type="spellStart"/>
      <w:r w:rsidRPr="00303B1B">
        <w:t>LaBonte</w:t>
      </w:r>
      <w:proofErr w:type="spellEnd"/>
      <w:r w:rsidRPr="00303B1B">
        <w:t xml:space="preserve"> LLP as auditor of the Corporation for the ensuing year and authorize the board of directors to fix the remuneration of the auditor.</w:t>
      </w:r>
    </w:p>
    <w:p w14:paraId="43248F81" w14:textId="77777777" w:rsidR="00EE343E" w:rsidRPr="00541228" w:rsidRDefault="00EE343E" w:rsidP="00EE343E">
      <w:pPr>
        <w:tabs>
          <w:tab w:val="left" w:pos="-1440"/>
        </w:tabs>
        <w:suppressAutoHyphens w:val="0"/>
        <w:autoSpaceDN/>
        <w:snapToGrid w:val="0"/>
        <w:spacing w:before="240" w:after="240"/>
        <w:jc w:val="both"/>
        <w:textAlignment w:val="auto"/>
      </w:pPr>
    </w:p>
    <w:p w14:paraId="6CA220E0" w14:textId="77777777" w:rsidR="00EE343E" w:rsidRPr="00303B1B" w:rsidRDefault="00EE343E" w:rsidP="00EE343E">
      <w:pPr>
        <w:numPr>
          <w:ilvl w:val="0"/>
          <w:numId w:val="1"/>
        </w:numPr>
        <w:tabs>
          <w:tab w:val="left" w:pos="-1440"/>
        </w:tabs>
        <w:suppressAutoHyphens w:val="0"/>
        <w:autoSpaceDN/>
        <w:snapToGrid w:val="0"/>
        <w:spacing w:before="240" w:after="240"/>
        <w:jc w:val="both"/>
        <w:textAlignment w:val="auto"/>
      </w:pPr>
      <w:r w:rsidRPr="00303B1B">
        <w:t>To transact such other business as may properly come before the Meeting or any adjournment thereof.</w:t>
      </w:r>
    </w:p>
    <w:p w14:paraId="22D4297D" w14:textId="77777777" w:rsidR="00EE343E" w:rsidRPr="00303B1B" w:rsidRDefault="00EE343E" w:rsidP="00EE343E">
      <w:pPr>
        <w:suppressAutoHyphens w:val="0"/>
        <w:autoSpaceDN/>
        <w:spacing w:before="240" w:after="240"/>
        <w:jc w:val="both"/>
        <w:textAlignment w:val="auto"/>
      </w:pPr>
      <w:r w:rsidRPr="00303B1B">
        <w:t xml:space="preserve">Shareholders who are unable to attend the Meeting via teleconference are requested to complete, sign, date and return the enclosed Proxy. A Proxy will not be valid unless it is deposited by mail or by fax at the office of TSX Trust Company, 301-100 Adelaide Street West, Toronto, ON, M5H </w:t>
      </w:r>
      <w:r>
        <w:t>4H1</w:t>
      </w:r>
      <w:r w:rsidRPr="00303B1B">
        <w:t xml:space="preserve">; or by fax number: 416-595-9593; or online with your 12-digit control number at </w:t>
      </w:r>
      <w:hyperlink r:id="rId9">
        <w:r w:rsidRPr="00303B1B">
          <w:rPr>
            <w:rStyle w:val="Hyperlink"/>
            <w:rFonts w:eastAsiaTheme="majorEastAsia"/>
          </w:rPr>
          <w:t>www.voteproxyonline.com</w:t>
        </w:r>
      </w:hyperlink>
      <w:r w:rsidRPr="00303B1B">
        <w:t xml:space="preserve">, not less than 48 hours (excluding Saturdays, Sundays and holidays) before the time fixed for the Meeting or an adjournment thereof. Only Shareholders of record on </w:t>
      </w:r>
      <w:r>
        <w:t>September 5</w:t>
      </w:r>
      <w:r w:rsidRPr="00416B8B">
        <w:t>, 202</w:t>
      </w:r>
      <w:r>
        <w:t xml:space="preserve">5, </w:t>
      </w:r>
      <w:r w:rsidRPr="00303B1B">
        <w:t xml:space="preserve">are entitled to receive notice of and vote at the Meeting.  Shareholders may contact TSX Trust toll free at 1-866-600-5869 or 416-342-1091, or by email at </w:t>
      </w:r>
      <w:hyperlink r:id="rId10">
        <w:r w:rsidRPr="00303B1B">
          <w:rPr>
            <w:rStyle w:val="Hyperlink"/>
            <w:rFonts w:eastAsiaTheme="majorEastAsia"/>
          </w:rPr>
          <w:t>tsxtis@tmx.com</w:t>
        </w:r>
      </w:hyperlink>
      <w:r w:rsidRPr="00303B1B">
        <w:t>, with questions regarding how to vote their Shares (as defined in the Circular).</w:t>
      </w:r>
    </w:p>
    <w:p w14:paraId="40485A7B" w14:textId="77777777" w:rsidR="00EE343E" w:rsidRPr="00303B1B" w:rsidRDefault="00EE343E" w:rsidP="00EE343E">
      <w:pPr>
        <w:widowControl w:val="0"/>
        <w:autoSpaceDE w:val="0"/>
        <w:adjustRightInd w:val="0"/>
        <w:spacing w:before="240" w:after="240"/>
        <w:jc w:val="both"/>
      </w:pPr>
      <w:r w:rsidRPr="00303B1B">
        <w:t xml:space="preserve">The Corporation will be holding the Meeting entirely by teleconference, which is accessible to all our </w:t>
      </w:r>
      <w:proofErr w:type="gramStart"/>
      <w:r w:rsidRPr="00303B1B">
        <w:t>shareholder’s</w:t>
      </w:r>
      <w:proofErr w:type="gramEnd"/>
      <w:r w:rsidRPr="00303B1B">
        <w:t xml:space="preserve"> regardless of physical location. As with an ordinary meeting of shareholders held at a physical location, only registered shareholders and duly appointed proxyholders will be able to attend, participate and vote at the Meeting.  This year, </w:t>
      </w:r>
      <w:proofErr w:type="gramStart"/>
      <w:r w:rsidRPr="00303B1B">
        <w:t>such registered</w:t>
      </w:r>
      <w:proofErr w:type="gramEnd"/>
      <w:r w:rsidRPr="00303B1B">
        <w:t xml:space="preserve"> shareholders and duly appointed proxyholders will be able to attend, participate and vote at the Meeting by calling the number above and instructions will be provided as to how shareholders entitled to vote at the Meeting may participate and vote at the Meeting. Non-registered shareholders who have not duly appointed themselves will be able to attend the Meeting as guests, but guests will not be able to vote or ask questions at the Meeting.</w:t>
      </w:r>
    </w:p>
    <w:p w14:paraId="32C3F1C2" w14:textId="77777777" w:rsidR="00EE343E" w:rsidRPr="00303B1B" w:rsidRDefault="00EE343E" w:rsidP="00EE343E">
      <w:pPr>
        <w:widowControl w:val="0"/>
        <w:autoSpaceDE w:val="0"/>
        <w:adjustRightInd w:val="0"/>
        <w:spacing w:before="240" w:after="240"/>
        <w:jc w:val="both"/>
      </w:pPr>
      <w:r w:rsidRPr="00303B1B">
        <w:t>To access the Meeting by teleconference, dial toll free at 1-587-328-1099</w:t>
      </w:r>
      <w:r w:rsidRPr="00303B1B">
        <w:rPr>
          <w:color w:val="222222"/>
          <w:shd w:val="clear" w:color="auto" w:fill="FFFFFF"/>
        </w:rPr>
        <w:t xml:space="preserve">. </w:t>
      </w:r>
      <w:r w:rsidRPr="00303B1B">
        <w:t xml:space="preserve">Participants are encouraged to vote on </w:t>
      </w:r>
      <w:proofErr w:type="gramStart"/>
      <w:r w:rsidRPr="00303B1B">
        <w:t>the matters</w:t>
      </w:r>
      <w:proofErr w:type="gramEnd"/>
      <w:r w:rsidRPr="00303B1B">
        <w:t xml:space="preserve"> before the Meeting by </w:t>
      </w:r>
      <w:r>
        <w:t>P</w:t>
      </w:r>
      <w:r w:rsidRPr="00303B1B">
        <w:t xml:space="preserve">roxy and join the Meeting via teleconference. Participants should dial in five to ten minutes prior to the scheduled start time and ask to join the call.  </w:t>
      </w:r>
    </w:p>
    <w:p w14:paraId="221E677C" w14:textId="77777777" w:rsidR="00EE343E" w:rsidRPr="00303B1B" w:rsidRDefault="00EE343E" w:rsidP="00EE343E">
      <w:pPr>
        <w:suppressAutoHyphens w:val="0"/>
        <w:autoSpaceDN/>
        <w:spacing w:before="240" w:after="240"/>
        <w:jc w:val="both"/>
        <w:textAlignment w:val="auto"/>
      </w:pPr>
      <w:r w:rsidRPr="00303B1B">
        <w:t xml:space="preserve">DATED at Vancouver, British Columbia this </w:t>
      </w:r>
      <w:r>
        <w:t>5</w:t>
      </w:r>
      <w:r w:rsidRPr="00E56ABC">
        <w:rPr>
          <w:vertAlign w:val="superscript"/>
        </w:rPr>
        <w:t>th</w:t>
      </w:r>
      <w:r w:rsidRPr="00541228">
        <w:t xml:space="preserve"> day of </w:t>
      </w:r>
      <w:r>
        <w:t xml:space="preserve">September </w:t>
      </w:r>
      <w:r w:rsidRPr="00541228">
        <w:t>202</w:t>
      </w:r>
      <w:r>
        <w:t>5</w:t>
      </w:r>
      <w:r w:rsidRPr="00541228">
        <w:t>.</w:t>
      </w:r>
    </w:p>
    <w:p w14:paraId="0374C8E2" w14:textId="77777777" w:rsidR="00EE343E" w:rsidRPr="00303B1B" w:rsidRDefault="00EE343E" w:rsidP="00EE343E">
      <w:pPr>
        <w:keepNext/>
        <w:keepLines/>
        <w:spacing w:before="240" w:after="240"/>
        <w:jc w:val="both"/>
        <w:rPr>
          <w:bCs/>
        </w:rPr>
      </w:pPr>
      <w:r w:rsidRPr="00303B1B">
        <w:rPr>
          <w:bCs/>
        </w:rPr>
        <w:t>Yours sincerely,</w:t>
      </w:r>
    </w:p>
    <w:p w14:paraId="324B287F" w14:textId="77777777" w:rsidR="00EE343E" w:rsidRPr="00303B1B" w:rsidRDefault="00EE343E" w:rsidP="00EE343E">
      <w:pPr>
        <w:spacing w:before="240" w:after="240"/>
      </w:pPr>
      <w:r w:rsidRPr="00303B1B">
        <w:t>Joseph Nakhla</w:t>
      </w:r>
      <w:r>
        <w:br/>
      </w:r>
      <w:r w:rsidRPr="00303B1B">
        <w:t>Chief Executive Officer</w:t>
      </w:r>
    </w:p>
    <w:p w14:paraId="1B5A3131" w14:textId="77777777" w:rsidR="006C6277" w:rsidRDefault="006C6277"/>
    <w:sectPr w:rsidR="006C6277">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E73A2" w14:textId="77777777" w:rsidR="005C116D" w:rsidRDefault="005C116D">
      <w:r>
        <w:separator/>
      </w:r>
    </w:p>
  </w:endnote>
  <w:endnote w:type="continuationSeparator" w:id="0">
    <w:p w14:paraId="6E60168F" w14:textId="77777777" w:rsidR="005C116D" w:rsidRDefault="005C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9014" w14:textId="77777777" w:rsidR="00EE343E" w:rsidRDefault="00000000">
    <w:pPr>
      <w:pStyle w:val="Footer"/>
      <w:jc w:val="center"/>
      <w:rPr>
        <w:rFonts w:ascii="Arial" w:hAnsi="Arial" w:cs="Arial"/>
      </w:rPr>
    </w:pPr>
    <w:sdt>
      <w:sdtPr>
        <w:rPr>
          <w:rFonts w:ascii="Arial" w:hAnsi="Arial" w:cs="Arial"/>
        </w:rPr>
        <w:id w:val="24489397"/>
        <w:docPartObj>
          <w:docPartGallery w:val="Page Numbers (Bottom of Page)"/>
          <w:docPartUnique/>
        </w:docPartObj>
      </w:sdtPr>
      <w:sdtContent>
        <w:r w:rsidR="00EE343E" w:rsidRPr="0033530F">
          <w:rPr>
            <w:rFonts w:ascii="Arial" w:hAnsi="Arial" w:cs="Arial"/>
          </w:rPr>
          <w:fldChar w:fldCharType="begin"/>
        </w:r>
        <w:r w:rsidR="00EE343E" w:rsidRPr="0033530F">
          <w:rPr>
            <w:rFonts w:ascii="Arial" w:hAnsi="Arial" w:cs="Arial"/>
          </w:rPr>
          <w:instrText xml:space="preserve"> PAGE   \* MERGEFORMAT </w:instrText>
        </w:r>
        <w:r w:rsidR="00EE343E" w:rsidRPr="0033530F">
          <w:rPr>
            <w:rFonts w:ascii="Arial" w:hAnsi="Arial" w:cs="Arial"/>
          </w:rPr>
          <w:fldChar w:fldCharType="separate"/>
        </w:r>
        <w:r w:rsidR="00EE343E">
          <w:rPr>
            <w:rFonts w:ascii="Arial" w:hAnsi="Arial" w:cs="Arial"/>
            <w:noProof/>
          </w:rPr>
          <w:t>ii</w:t>
        </w:r>
        <w:r w:rsidR="00EE343E" w:rsidRPr="0033530F">
          <w:rPr>
            <w:rFonts w:ascii="Arial" w:hAnsi="Arial"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01F8" w14:textId="77777777" w:rsidR="00EE343E" w:rsidRDefault="00EE343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9E22" w14:textId="77777777" w:rsidR="005C116D" w:rsidRDefault="005C116D">
      <w:r>
        <w:separator/>
      </w:r>
    </w:p>
  </w:footnote>
  <w:footnote w:type="continuationSeparator" w:id="0">
    <w:p w14:paraId="54B9A729" w14:textId="77777777" w:rsidR="005C116D" w:rsidRDefault="005C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58D" w14:textId="77777777" w:rsidR="00EE343E" w:rsidRDefault="00EE343E" w:rsidP="00686021">
    <w:pPr>
      <w:pStyle w:val="Header"/>
    </w:pPr>
  </w:p>
  <w:p w14:paraId="774A1F23" w14:textId="77777777" w:rsidR="00EE343E" w:rsidRDefault="00EE343E" w:rsidP="00686021">
    <w:pPr>
      <w:pStyle w:val="Header"/>
    </w:pPr>
  </w:p>
  <w:p w14:paraId="71997567" w14:textId="77777777" w:rsidR="00EE343E" w:rsidRDefault="00EE343E" w:rsidP="00686021">
    <w:pPr>
      <w:pStyle w:val="Header"/>
    </w:pPr>
  </w:p>
  <w:p w14:paraId="2739DBA4" w14:textId="77777777" w:rsidR="00EE343E" w:rsidRDefault="00EE343E" w:rsidP="00686021">
    <w:pPr>
      <w:pStyle w:val="Header"/>
    </w:pPr>
  </w:p>
  <w:p w14:paraId="71ABF9B8" w14:textId="77777777" w:rsidR="00EE343E" w:rsidRDefault="00EE343E" w:rsidP="00686021">
    <w:pPr>
      <w:pStyle w:val="Header"/>
    </w:pPr>
  </w:p>
  <w:p w14:paraId="6D97EB32" w14:textId="77777777" w:rsidR="00EE343E" w:rsidRDefault="00EE343E" w:rsidP="00686021">
    <w:pPr>
      <w:pStyle w:val="Header"/>
    </w:pPr>
  </w:p>
  <w:p w14:paraId="7826D7F8" w14:textId="77777777" w:rsidR="00EE343E" w:rsidRDefault="00EE343E" w:rsidP="00686021">
    <w:pPr>
      <w:pStyle w:val="Header"/>
    </w:pPr>
  </w:p>
  <w:p w14:paraId="05383A36" w14:textId="77777777" w:rsidR="00EE343E" w:rsidRDefault="00EE343E" w:rsidP="00686021">
    <w:pPr>
      <w:pStyle w:val="Header"/>
    </w:pPr>
  </w:p>
  <w:p w14:paraId="591DD97F" w14:textId="77777777" w:rsidR="00EE343E" w:rsidRPr="00686021" w:rsidRDefault="00EE343E" w:rsidP="00686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0FB6"/>
    <w:multiLevelType w:val="hybridMultilevel"/>
    <w:tmpl w:val="A374211E"/>
    <w:name w:val="Unknown A-42241592A-X"/>
    <w:lvl w:ilvl="0" w:tplc="D6F4F5F0">
      <w:start w:val="1"/>
      <w:numFmt w:val="decimal"/>
      <w:lvlText w:val="%1."/>
      <w:lvlJc w:val="left"/>
      <w:pPr>
        <w:ind w:left="720" w:hanging="72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073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ztDC0MLI0MTQ0N7NQ0lEKTi0uzszPAykwqgUAIauwAywAAAA="/>
  </w:docVars>
  <w:rsids>
    <w:rsidRoot w:val="00EE343E"/>
    <w:rsid w:val="00260AEA"/>
    <w:rsid w:val="00531C8C"/>
    <w:rsid w:val="005C116D"/>
    <w:rsid w:val="006A6BC7"/>
    <w:rsid w:val="006C6277"/>
    <w:rsid w:val="008E4B62"/>
    <w:rsid w:val="00C56AD5"/>
    <w:rsid w:val="00D04D8F"/>
    <w:rsid w:val="00EE343E"/>
    <w:rsid w:val="00FA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FDD7"/>
  <w15:chartTrackingRefBased/>
  <w15:docId w15:val="{BC7E6EC9-9EE6-42D2-9F26-96BB4C04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43E"/>
    <w:pPr>
      <w:suppressAutoHyphens/>
      <w:autoSpaceDN w:val="0"/>
      <w:spacing w:after="0" w:line="240" w:lineRule="auto"/>
      <w:textAlignment w:val="baseline"/>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EE3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43E"/>
    <w:rPr>
      <w:rFonts w:eastAsiaTheme="majorEastAsia" w:cstheme="majorBidi"/>
      <w:color w:val="272727" w:themeColor="text1" w:themeTint="D8"/>
    </w:rPr>
  </w:style>
  <w:style w:type="paragraph" w:styleId="Title">
    <w:name w:val="Title"/>
    <w:basedOn w:val="Normal"/>
    <w:next w:val="Normal"/>
    <w:link w:val="TitleChar"/>
    <w:uiPriority w:val="10"/>
    <w:qFormat/>
    <w:rsid w:val="00EE3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43E"/>
    <w:pPr>
      <w:spacing w:before="160"/>
      <w:jc w:val="center"/>
    </w:pPr>
    <w:rPr>
      <w:i/>
      <w:iCs/>
      <w:color w:val="404040" w:themeColor="text1" w:themeTint="BF"/>
    </w:rPr>
  </w:style>
  <w:style w:type="character" w:customStyle="1" w:styleId="QuoteChar">
    <w:name w:val="Quote Char"/>
    <w:basedOn w:val="DefaultParagraphFont"/>
    <w:link w:val="Quote"/>
    <w:uiPriority w:val="29"/>
    <w:rsid w:val="00EE343E"/>
    <w:rPr>
      <w:i/>
      <w:iCs/>
      <w:color w:val="404040" w:themeColor="text1" w:themeTint="BF"/>
    </w:rPr>
  </w:style>
  <w:style w:type="paragraph" w:styleId="ListParagraph">
    <w:name w:val="List Paragraph"/>
    <w:basedOn w:val="Normal"/>
    <w:uiPriority w:val="34"/>
    <w:qFormat/>
    <w:rsid w:val="00EE343E"/>
    <w:pPr>
      <w:ind w:left="720"/>
      <w:contextualSpacing/>
    </w:pPr>
  </w:style>
  <w:style w:type="character" w:styleId="IntenseEmphasis">
    <w:name w:val="Intense Emphasis"/>
    <w:basedOn w:val="DefaultParagraphFont"/>
    <w:uiPriority w:val="21"/>
    <w:qFormat/>
    <w:rsid w:val="00EE343E"/>
    <w:rPr>
      <w:i/>
      <w:iCs/>
      <w:color w:val="0F4761" w:themeColor="accent1" w:themeShade="BF"/>
    </w:rPr>
  </w:style>
  <w:style w:type="paragraph" w:styleId="IntenseQuote">
    <w:name w:val="Intense Quote"/>
    <w:basedOn w:val="Normal"/>
    <w:next w:val="Normal"/>
    <w:link w:val="IntenseQuoteChar"/>
    <w:uiPriority w:val="30"/>
    <w:qFormat/>
    <w:rsid w:val="00EE3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43E"/>
    <w:rPr>
      <w:i/>
      <w:iCs/>
      <w:color w:val="0F4761" w:themeColor="accent1" w:themeShade="BF"/>
    </w:rPr>
  </w:style>
  <w:style w:type="character" w:styleId="IntenseReference">
    <w:name w:val="Intense Reference"/>
    <w:basedOn w:val="DefaultParagraphFont"/>
    <w:uiPriority w:val="32"/>
    <w:qFormat/>
    <w:rsid w:val="00EE343E"/>
    <w:rPr>
      <w:b/>
      <w:bCs/>
      <w:smallCaps/>
      <w:color w:val="0F4761" w:themeColor="accent1" w:themeShade="BF"/>
      <w:spacing w:val="5"/>
    </w:rPr>
  </w:style>
  <w:style w:type="paragraph" w:styleId="PlainText">
    <w:name w:val="Plain Text"/>
    <w:basedOn w:val="Normal"/>
    <w:link w:val="PlainTextChar"/>
    <w:uiPriority w:val="99"/>
    <w:rsid w:val="00EE343E"/>
    <w:rPr>
      <w:rFonts w:ascii="Courier New" w:hAnsi="Courier New"/>
    </w:rPr>
  </w:style>
  <w:style w:type="character" w:customStyle="1" w:styleId="PlainTextChar">
    <w:name w:val="Plain Text Char"/>
    <w:basedOn w:val="DefaultParagraphFont"/>
    <w:link w:val="PlainText"/>
    <w:uiPriority w:val="99"/>
    <w:rsid w:val="00EE343E"/>
    <w:rPr>
      <w:rFonts w:ascii="Courier New" w:eastAsia="Times New Roman" w:hAnsi="Courier New" w:cs="Times New Roman"/>
      <w:kern w:val="0"/>
      <w:sz w:val="20"/>
      <w:szCs w:val="20"/>
    </w:rPr>
  </w:style>
  <w:style w:type="character" w:styleId="Hyperlink">
    <w:name w:val="Hyperlink"/>
    <w:basedOn w:val="DefaultParagraphFont"/>
    <w:uiPriority w:val="99"/>
    <w:rsid w:val="00EE343E"/>
    <w:rPr>
      <w:rFonts w:cs="Times New Roman"/>
      <w:color w:val="0000FF"/>
      <w:u w:val="single"/>
    </w:rPr>
  </w:style>
  <w:style w:type="table" w:styleId="TableGrid">
    <w:name w:val="Table Grid"/>
    <w:aliases w:val="AMEC"/>
    <w:basedOn w:val="TableNormal"/>
    <w:uiPriority w:val="59"/>
    <w:rsid w:val="00EE343E"/>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
    <w:basedOn w:val="Normal"/>
    <w:link w:val="BodyTextChar"/>
    <w:uiPriority w:val="1"/>
    <w:qFormat/>
    <w:rsid w:val="00EE343E"/>
    <w:pPr>
      <w:suppressAutoHyphens w:val="0"/>
      <w:autoSpaceDN/>
      <w:spacing w:before="240" w:after="240"/>
      <w:jc w:val="both"/>
      <w:textAlignment w:val="auto"/>
    </w:pPr>
    <w:rPr>
      <w:rFonts w:ascii="Arial" w:hAnsi="Arial"/>
      <w:szCs w:val="24"/>
      <w:lang w:val="en-CA"/>
    </w:rPr>
  </w:style>
  <w:style w:type="character" w:customStyle="1" w:styleId="BodyTextChar">
    <w:name w:val="Body Text Char"/>
    <w:aliases w:val="bt Char"/>
    <w:basedOn w:val="DefaultParagraphFont"/>
    <w:link w:val="BodyText"/>
    <w:uiPriority w:val="1"/>
    <w:rsid w:val="00EE343E"/>
    <w:rPr>
      <w:rFonts w:ascii="Arial" w:eastAsia="Times New Roman" w:hAnsi="Arial" w:cs="Times New Roman"/>
      <w:kern w:val="0"/>
      <w:sz w:val="20"/>
      <w:lang w:val="en-CA"/>
    </w:rPr>
  </w:style>
  <w:style w:type="paragraph" w:styleId="Header">
    <w:name w:val="header"/>
    <w:basedOn w:val="Normal"/>
    <w:link w:val="HeaderChar"/>
    <w:rsid w:val="00EE343E"/>
    <w:pPr>
      <w:tabs>
        <w:tab w:val="center" w:pos="4680"/>
        <w:tab w:val="right" w:pos="9360"/>
      </w:tabs>
      <w:suppressAutoHyphens w:val="0"/>
      <w:autoSpaceDN/>
      <w:textAlignment w:val="auto"/>
    </w:pPr>
  </w:style>
  <w:style w:type="character" w:customStyle="1" w:styleId="HeaderChar">
    <w:name w:val="Header Char"/>
    <w:basedOn w:val="DefaultParagraphFont"/>
    <w:link w:val="Header"/>
    <w:rsid w:val="00EE343E"/>
    <w:rPr>
      <w:rFonts w:ascii="Times New Roman" w:eastAsia="Times New Roman" w:hAnsi="Times New Roman" w:cs="Times New Roman"/>
      <w:kern w:val="0"/>
      <w:sz w:val="20"/>
      <w:szCs w:val="20"/>
    </w:rPr>
  </w:style>
  <w:style w:type="paragraph" w:styleId="Footer">
    <w:name w:val="footer"/>
    <w:basedOn w:val="Normal"/>
    <w:link w:val="FooterChar"/>
    <w:uiPriority w:val="99"/>
    <w:rsid w:val="00EE343E"/>
    <w:pPr>
      <w:tabs>
        <w:tab w:val="center" w:pos="4680"/>
        <w:tab w:val="right" w:pos="9360"/>
      </w:tabs>
      <w:suppressAutoHyphens w:val="0"/>
      <w:autoSpaceDN/>
      <w:textAlignment w:val="auto"/>
    </w:pPr>
  </w:style>
  <w:style w:type="character" w:customStyle="1" w:styleId="FooterChar">
    <w:name w:val="Footer Char"/>
    <w:basedOn w:val="DefaultParagraphFont"/>
    <w:link w:val="Footer"/>
    <w:uiPriority w:val="99"/>
    <w:rsid w:val="00EE343E"/>
    <w:rPr>
      <w:rFonts w:ascii="Times New Roman" w:eastAsia="Times New Roman" w:hAnsi="Times New Roman" w:cs="Times New Roman"/>
      <w:kern w:val="0"/>
      <w:sz w:val="20"/>
      <w:szCs w:val="20"/>
    </w:rPr>
  </w:style>
  <w:style w:type="character" w:customStyle="1" w:styleId="Prompt">
    <w:name w:val="Prompt"/>
    <w:aliases w:val="PR,Pr,pt"/>
    <w:basedOn w:val="DefaultParagraphFont"/>
    <w:qFormat/>
    <w:rsid w:val="00EE343E"/>
    <w:rPr>
      <w:color w:val="auto"/>
      <w:sz w:val="24"/>
    </w:rPr>
  </w:style>
  <w:style w:type="paragraph" w:customStyle="1" w:styleId="CentreB">
    <w:name w:val="CentreB"/>
    <w:basedOn w:val="Normal"/>
    <w:qFormat/>
    <w:rsid w:val="00EE343E"/>
    <w:pPr>
      <w:suppressAutoHyphens w:val="0"/>
      <w:autoSpaceDN/>
      <w:spacing w:after="180"/>
      <w:jc w:val="center"/>
      <w:textAlignment w:val="auto"/>
    </w:pPr>
    <w:rPr>
      <w:rFonts w:ascii="Times New Roman Bold" w:hAnsi="Times New Roman Bold"/>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bemgmt.zoom.us/u/kynYZVAy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sxtis@tmx.com" TargetMode="External"/><Relationship Id="rId4" Type="http://schemas.openxmlformats.org/officeDocument/2006/relationships/webSettings" Target="webSettings.xml"/><Relationship Id="rId9" Type="http://schemas.openxmlformats.org/officeDocument/2006/relationships/hyperlink" Target="http://www.voteproxyonli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Fiddick</dc:creator>
  <cp:keywords/>
  <dc:description/>
  <cp:lastModifiedBy>Danielle Fiddick</cp:lastModifiedBy>
  <cp:revision>3</cp:revision>
  <dcterms:created xsi:type="dcterms:W3CDTF">2025-09-18T19:43:00Z</dcterms:created>
  <dcterms:modified xsi:type="dcterms:W3CDTF">2025-09-19T19:06:00Z</dcterms:modified>
</cp:coreProperties>
</file>